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0D5D03BD" w:rsidR="00377AB2" w:rsidRPr="005E2246" w:rsidRDefault="008B457C" w:rsidP="00377AB2">
      <w:pPr>
        <w:spacing w:before="240"/>
        <w:ind w:left="6095"/>
        <w:rPr>
          <w:kern w:val="36"/>
          <w:sz w:val="20"/>
          <w:szCs w:val="20"/>
        </w:rPr>
      </w:pPr>
      <w:r>
        <w:rPr>
          <w:kern w:val="36"/>
          <w:sz w:val="20"/>
          <w:szCs w:val="20"/>
          <w:lang w:val="en-US"/>
        </w:rPr>
        <w:t>C</w:t>
      </w:r>
      <w:r w:rsidR="00534282" w:rsidRPr="005E2246">
        <w:rPr>
          <w:kern w:val="36"/>
          <w:sz w:val="20"/>
          <w:szCs w:val="20"/>
        </w:rPr>
        <w:t>екретарь</w:t>
      </w:r>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1AB1991A" w:rsidR="004F70BD" w:rsidRPr="00534282" w:rsidRDefault="00395BDA" w:rsidP="00907B96">
      <w:pPr>
        <w:jc w:val="center"/>
        <w:rPr>
          <w:b/>
        </w:rPr>
      </w:pPr>
      <w:r w:rsidRPr="00395BDA">
        <w:rPr>
          <w:b/>
        </w:rPr>
        <w:t>Лот №21.0000</w:t>
      </w:r>
      <w:r w:rsidR="00444929">
        <w:rPr>
          <w:b/>
        </w:rPr>
        <w:t>3</w:t>
      </w:r>
      <w:r w:rsidR="00534282">
        <w:rPr>
          <w:b/>
        </w:rPr>
        <w:t>5</w:t>
      </w:r>
      <w:r w:rsidRPr="00395BDA">
        <w:rPr>
          <w:b/>
        </w:rPr>
        <w:t xml:space="preserve"> «</w:t>
      </w:r>
      <w:r w:rsidR="00534282" w:rsidRPr="00F47D62">
        <w:t>Капитальный ремонт механической части гидрогенератора №3 (Ремонт ВГП, ПП, Системы торможения, Системы охлаждения, Системы пожаротушения)</w:t>
      </w:r>
      <w:r w:rsidR="00444929">
        <w:t>»</w:t>
      </w:r>
      <w:r w:rsidR="00444929" w:rsidRPr="00395BDA">
        <w:rPr>
          <w:b/>
        </w:rPr>
        <w:t xml:space="preserve"> </w:t>
      </w:r>
    </w:p>
    <w:p w14:paraId="24B07DAE" w14:textId="77777777" w:rsidR="0020030D" w:rsidRDefault="0020030D" w:rsidP="00A36848">
      <w:pPr>
        <w:jc w:val="center"/>
      </w:pPr>
      <w:bookmarkStart w:id="8" w:name="_GoBack"/>
      <w:bookmarkEnd w:id="8"/>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573C50"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573C50"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573C50"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573C50"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573C50"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573C50"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lastRenderedPageBreak/>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lastRenderedPageBreak/>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lastRenderedPageBreak/>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lastRenderedPageBreak/>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lastRenderedPageBreak/>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lastRenderedPageBreak/>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lastRenderedPageBreak/>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lastRenderedPageBreak/>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lastRenderedPageBreak/>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lastRenderedPageBreak/>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lastRenderedPageBreak/>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lastRenderedPageBreak/>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lastRenderedPageBreak/>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lastRenderedPageBreak/>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lastRenderedPageBreak/>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lastRenderedPageBreak/>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lastRenderedPageBreak/>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lastRenderedPageBreak/>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lastRenderedPageBreak/>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lastRenderedPageBreak/>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lastRenderedPageBreak/>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lastRenderedPageBreak/>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lastRenderedPageBreak/>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lastRenderedPageBreak/>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lastRenderedPageBreak/>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lastRenderedPageBreak/>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lastRenderedPageBreak/>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lastRenderedPageBreak/>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lastRenderedPageBreak/>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lastRenderedPageBreak/>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lastRenderedPageBreak/>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lastRenderedPageBreak/>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lastRenderedPageBreak/>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lastRenderedPageBreak/>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lastRenderedPageBreak/>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lastRenderedPageBreak/>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lastRenderedPageBreak/>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lastRenderedPageBreak/>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7D609" w14:textId="77777777" w:rsidR="00573C50" w:rsidRDefault="00573C50" w:rsidP="00706E83">
      <w:r>
        <w:separator/>
      </w:r>
    </w:p>
  </w:endnote>
  <w:endnote w:type="continuationSeparator" w:id="0">
    <w:p w14:paraId="401837B3" w14:textId="77777777" w:rsidR="00573C50" w:rsidRDefault="00573C50" w:rsidP="00706E83">
      <w:r>
        <w:continuationSeparator/>
      </w:r>
    </w:p>
  </w:endnote>
  <w:endnote w:type="continuationNotice" w:id="1">
    <w:p w14:paraId="16E93667" w14:textId="77777777" w:rsidR="00573C50" w:rsidRDefault="00573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5A7C7923"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E1468" w14:textId="77777777" w:rsidR="00573C50" w:rsidRDefault="00573C50" w:rsidP="00706E83">
      <w:r>
        <w:separator/>
      </w:r>
    </w:p>
  </w:footnote>
  <w:footnote w:type="continuationSeparator" w:id="0">
    <w:p w14:paraId="3833F865" w14:textId="77777777" w:rsidR="00573C50" w:rsidRDefault="00573C50" w:rsidP="00706E83">
      <w:r>
        <w:continuationSeparator/>
      </w:r>
    </w:p>
  </w:footnote>
  <w:footnote w:type="continuationNotice" w:id="1">
    <w:p w14:paraId="1F43BD7D" w14:textId="77777777" w:rsidR="00573C50" w:rsidRDefault="00573C50"/>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906631">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30D2"/>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218"/>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282"/>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3C50"/>
    <w:rsid w:val="00574A4E"/>
    <w:rsid w:val="00577534"/>
    <w:rsid w:val="005800DA"/>
    <w:rsid w:val="0058136F"/>
    <w:rsid w:val="00581BDF"/>
    <w:rsid w:val="00587808"/>
    <w:rsid w:val="00587880"/>
    <w:rsid w:val="00590851"/>
    <w:rsid w:val="00590D89"/>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631"/>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58EC"/>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7203A107-79D3-45F3-A25E-DF74685B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4AEA5-E1B7-4C0A-8FFD-4E4B018D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26830</Words>
  <Characters>152932</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8</cp:revision>
  <cp:lastPrinted>2013-05-14T07:19:00Z</cp:lastPrinted>
  <dcterms:created xsi:type="dcterms:W3CDTF">2021-07-19T06:22:00Z</dcterms:created>
  <dcterms:modified xsi:type="dcterms:W3CDTF">2021-07-23T04:14:00Z</dcterms:modified>
</cp:coreProperties>
</file>